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37" w:rsidRPr="00090B37" w:rsidRDefault="00090B37" w:rsidP="00090B37">
      <w:pPr>
        <w:spacing w:after="0" w:line="280" w:lineRule="exact"/>
        <w:ind w:right="552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УМОВЫ </w:t>
      </w:r>
    </w:p>
    <w:p w:rsidR="00090B37" w:rsidRPr="00090B37" w:rsidRDefault="00090B37" w:rsidP="00090B37">
      <w:pPr>
        <w:spacing w:after="0" w:line="280" w:lineRule="exact"/>
        <w:ind w:right="552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Правядзення раённага этапу рэспубліканскага конкурсу </w:t>
      </w:r>
      <w:r w:rsidRPr="00090B3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юных экскурсаводаў музеяў устаноў адукацыі</w:t>
      </w:r>
    </w:p>
    <w:p w:rsidR="00090B37" w:rsidRPr="00090B37" w:rsidRDefault="00090B37" w:rsidP="00090B37">
      <w:pPr>
        <w:spacing w:after="0" w:line="280" w:lineRule="exact"/>
        <w:ind w:right="552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90B37" w:rsidRPr="00090B37" w:rsidRDefault="00090B37" w:rsidP="00090B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МЭТА І ЗАДАЧЫ КОНКУРСУ</w:t>
      </w:r>
    </w:p>
    <w:p w:rsidR="00090B37" w:rsidRPr="00090B37" w:rsidRDefault="00090B37" w:rsidP="00090B3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адпаведнасці з пісьмом Міністэрства адукацыі Рэспублікі Беларусь ад 22.01.2024 № 06-01-14/851/дс і пісьмом галоўнага ўпраўлення па адукацыі Віцебскага абылвыканкама ад 29.01.2024 № 01-01-37/184 з мэтай фарміравання ў навучэнцаў грамадзянска-патрыятычных пачуццяў сродкамі экскурсійнай музейнай дзейнасці праводзіцца раённы этап рэспубліканскага конкурсу юных экскурсаводаў музеяў устаноў адукацыі (далей – конкурс).</w:t>
      </w:r>
    </w:p>
    <w:p w:rsidR="00090B37" w:rsidRPr="00090B37" w:rsidRDefault="00090B37" w:rsidP="00090B3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Асноўнымі задачамі конкурсу з’яўляюцца:</w:t>
      </w:r>
    </w:p>
    <w:p w:rsidR="00090B37" w:rsidRPr="00090B37" w:rsidRDefault="00090B37" w:rsidP="00090B3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 дзяцей і моладзі каштоўнасных арыенціраў, гонару і павагі да гісторыі і культуры малой радзімы;</w:t>
      </w:r>
    </w:p>
    <w:p w:rsidR="00090B37" w:rsidRPr="00090B37" w:rsidRDefault="00090B37" w:rsidP="00090B3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папулярызацыя гісторыка-культурных і прыродных адметнасцей малой радзімы сродкамі экскурсійнай дзейнасці;</w:t>
      </w:r>
    </w:p>
    <w:p w:rsidR="00090B37" w:rsidRPr="00090B37" w:rsidRDefault="00090B37" w:rsidP="00090B3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папулярызацыя дзейнасці музеяў устаноў адукацыі; </w:t>
      </w:r>
    </w:p>
    <w:p w:rsidR="00090B37" w:rsidRPr="00090B37" w:rsidRDefault="00090B37" w:rsidP="00090B3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выяўленне і заахвочванне лепшых юных экскурсаводаў музеяў устаноў адукацыі;</w:t>
      </w:r>
    </w:p>
    <w:p w:rsidR="00090B37" w:rsidRPr="00090B37" w:rsidRDefault="00090B37" w:rsidP="00090B3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творчых здольнасцей, садзейнічанне прафесійнаму самавызначэнню навучэнцаў, набыццё камунікатыўных навыкаў праз экскурсійную дзейнасць.</w:t>
      </w:r>
    </w:p>
    <w:p w:rsidR="00090B37" w:rsidRPr="00090B37" w:rsidRDefault="00090B37" w:rsidP="00090B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АРГАНІЗАТАРЫ</w:t>
      </w:r>
    </w:p>
    <w:p w:rsidR="00090B37" w:rsidRDefault="00090B37" w:rsidP="00090B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90B37">
        <w:rPr>
          <w:rFonts w:ascii="Times New Roman" w:hAnsi="Times New Roman" w:cs="Times New Roman"/>
          <w:sz w:val="30"/>
          <w:szCs w:val="30"/>
          <w:lang w:val="be-BY"/>
        </w:rPr>
        <w:t>Арганізатарамі раённага этапу з’яўляецца аддзел па адукацыі Докшыцкага раённага выканаўчага камітэта і ДУДА “Докшыцкі раённы цэнтр дзяцей і моладзі”. Агульнае кіраванне ажыццяўляе ДУДА “Докшыцкі раённы цэнтр дзяцей і моладзі”</w:t>
      </w:r>
    </w:p>
    <w:p w:rsidR="00090B37" w:rsidRPr="00090B37" w:rsidRDefault="00090B37" w:rsidP="00090B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90B37" w:rsidRPr="00090B37" w:rsidRDefault="00090B37" w:rsidP="00090B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90B37">
        <w:rPr>
          <w:rFonts w:ascii="Times New Roman" w:hAnsi="Times New Roman" w:cs="Times New Roman"/>
          <w:sz w:val="30"/>
          <w:szCs w:val="30"/>
          <w:lang w:val="be-BY"/>
        </w:rPr>
        <w:t>УДЗЕЛЬНІКІ КОНКУРСУ</w:t>
      </w:r>
    </w:p>
    <w:p w:rsidR="00090B37" w:rsidRDefault="00090B37" w:rsidP="00090B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</w:pPr>
      <w:r w:rsidRPr="00090B37">
        <w:rPr>
          <w:rFonts w:ascii="Times New Roman" w:hAnsi="Times New Roman" w:cs="Times New Roman"/>
          <w:sz w:val="30"/>
          <w:szCs w:val="30"/>
          <w:lang w:val="be-BY"/>
        </w:rPr>
        <w:t xml:space="preserve">Удзельнікамі конкурсу з’яўляюцца навучэнцы агульнай сярэдняй і дадатковай адукацыі ва ўзроставай катэгорыі ад 13 гадоў да </w:t>
      </w:r>
      <w:r>
        <w:rPr>
          <w:rFonts w:ascii="Times New Roman" w:hAnsi="Times New Roman" w:cs="Times New Roman"/>
          <w:sz w:val="30"/>
          <w:szCs w:val="30"/>
          <w:lang w:val="be-BY"/>
        </w:rPr>
        <w:t>18 гадоў (</w:t>
      </w:r>
      <w:r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>юныя экскурсаводы музеяў, музейных комнат устаноў адукацыі (індывідуальна).</w:t>
      </w:r>
    </w:p>
    <w:p w:rsidR="00090B37" w:rsidRPr="00090B37" w:rsidRDefault="00090B37" w:rsidP="00090B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90B37" w:rsidRPr="00090B37" w:rsidRDefault="00090B37" w:rsidP="00090B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ТЭРМІНЫ ПРАВЯДЗЕННЯ</w:t>
      </w:r>
    </w:p>
    <w:p w:rsidR="00090B37" w:rsidRPr="00090B37" w:rsidRDefault="00090B37" w:rsidP="00090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Конкурс праводзіцца ў перыяд з лютага па сакавік 2024 года. </w:t>
      </w:r>
    </w:p>
    <w:p w:rsidR="00090B37" w:rsidRPr="00090B37" w:rsidRDefault="00090B37" w:rsidP="0009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90B37">
        <w:rPr>
          <w:rFonts w:ascii="Times New Roman" w:hAnsi="Times New Roman" w:cs="Times New Roman"/>
          <w:sz w:val="30"/>
          <w:szCs w:val="30"/>
          <w:lang w:val="be-BY"/>
        </w:rPr>
        <w:t xml:space="preserve">Раённы этап конкурсу пройдзе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ў вочным фармаце </w:t>
      </w:r>
      <w:r w:rsidR="00427E4B" w:rsidRPr="00427E4B">
        <w:rPr>
          <w:rFonts w:ascii="Times New Roman" w:hAnsi="Times New Roman" w:cs="Times New Roman"/>
          <w:b/>
          <w:sz w:val="30"/>
          <w:szCs w:val="30"/>
          <w:lang w:val="be-BY"/>
        </w:rPr>
        <w:t>2 сакавіка</w:t>
      </w:r>
      <w:r w:rsidR="00427E4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90B37">
        <w:rPr>
          <w:rFonts w:ascii="Times New Roman" w:hAnsi="Times New Roman" w:cs="Times New Roman"/>
          <w:b/>
          <w:sz w:val="30"/>
          <w:szCs w:val="30"/>
          <w:lang w:val="be-BY"/>
        </w:rPr>
        <w:t>2024 года</w:t>
      </w:r>
      <w:r w:rsidRPr="00090B37">
        <w:rPr>
          <w:rFonts w:ascii="Times New Roman" w:hAnsi="Times New Roman" w:cs="Times New Roman"/>
          <w:sz w:val="30"/>
          <w:szCs w:val="30"/>
          <w:lang w:val="be-BY"/>
        </w:rPr>
        <w:t xml:space="preserve"> ў ДУДА “Докшыцкі раённы цэнтр дзяцей і моладзі” і будзе складацца з двух тураў.</w:t>
      </w:r>
    </w:p>
    <w:p w:rsidR="00090B37" w:rsidRPr="00090B37" w:rsidRDefault="00090B37" w:rsidP="0009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90B37">
        <w:rPr>
          <w:rFonts w:ascii="Times New Roman" w:hAnsi="Times New Roman" w:cs="Times New Roman"/>
          <w:sz w:val="30"/>
          <w:szCs w:val="30"/>
          <w:lang w:val="be-BY"/>
        </w:rPr>
        <w:t>Конкурсныя матэрыялы і заяўкі дасылаюцца да  2</w:t>
      </w:r>
      <w:r>
        <w:rPr>
          <w:rFonts w:ascii="Times New Roman" w:hAnsi="Times New Roman" w:cs="Times New Roman"/>
          <w:sz w:val="30"/>
          <w:szCs w:val="30"/>
          <w:lang w:val="be-BY"/>
        </w:rPr>
        <w:t>8</w:t>
      </w:r>
      <w:r w:rsidRPr="00090B37">
        <w:rPr>
          <w:rFonts w:ascii="Times New Roman" w:hAnsi="Times New Roman" w:cs="Times New Roman"/>
          <w:sz w:val="30"/>
          <w:szCs w:val="30"/>
          <w:lang w:val="be-BY"/>
        </w:rPr>
        <w:t xml:space="preserve"> лютага 2024 года ў электронным выглядзе (</w:t>
      </w:r>
      <w:r w:rsidR="0050614F">
        <w:fldChar w:fldCharType="begin"/>
      </w:r>
      <w:r w:rsidR="0050614F">
        <w:instrText xml:space="preserve"> HYPERLINK "mailto:cdtdokshitsy_2007@mail.ru" </w:instrText>
      </w:r>
      <w:r w:rsidR="0050614F">
        <w:fldChar w:fldCharType="separate"/>
      </w:r>
      <w:r w:rsidRPr="00090B37">
        <w:rPr>
          <w:rFonts w:ascii="Times New Roman" w:hAnsi="Times New Roman" w:cs="Times New Roman"/>
          <w:color w:val="0000FF" w:themeColor="hyperlink"/>
          <w:sz w:val="30"/>
          <w:szCs w:val="30"/>
          <w:u w:val="single"/>
          <w:lang w:val="en-US"/>
        </w:rPr>
        <w:t>cdtdokshitsy</w:t>
      </w:r>
      <w:r w:rsidRPr="00090B37">
        <w:rPr>
          <w:rFonts w:ascii="Times New Roman" w:hAnsi="Times New Roman" w:cs="Times New Roman"/>
          <w:color w:val="0000FF" w:themeColor="hyperlink"/>
          <w:sz w:val="30"/>
          <w:szCs w:val="30"/>
          <w:u w:val="single"/>
          <w:lang w:val="be-BY"/>
        </w:rPr>
        <w:t>_2007@</w:t>
      </w:r>
      <w:r w:rsidRPr="00090B37">
        <w:rPr>
          <w:rFonts w:ascii="Times New Roman" w:hAnsi="Times New Roman" w:cs="Times New Roman"/>
          <w:color w:val="0000FF" w:themeColor="hyperlink"/>
          <w:sz w:val="30"/>
          <w:szCs w:val="30"/>
          <w:u w:val="single"/>
          <w:lang w:val="en-US"/>
        </w:rPr>
        <w:t>mail</w:t>
      </w:r>
      <w:r w:rsidRPr="00090B37">
        <w:rPr>
          <w:rFonts w:ascii="Times New Roman" w:hAnsi="Times New Roman" w:cs="Times New Roman"/>
          <w:color w:val="0000FF" w:themeColor="hyperlink"/>
          <w:sz w:val="30"/>
          <w:szCs w:val="30"/>
          <w:u w:val="single"/>
          <w:lang w:val="be-BY"/>
        </w:rPr>
        <w:t>.</w:t>
      </w:r>
      <w:proofErr w:type="spellStart"/>
      <w:r w:rsidRPr="00090B37">
        <w:rPr>
          <w:rFonts w:ascii="Times New Roman" w:hAnsi="Times New Roman" w:cs="Times New Roman"/>
          <w:color w:val="0000FF" w:themeColor="hyperlink"/>
          <w:sz w:val="30"/>
          <w:szCs w:val="30"/>
          <w:u w:val="single"/>
          <w:lang w:val="en-US"/>
        </w:rPr>
        <w:t>ru</w:t>
      </w:r>
      <w:proofErr w:type="spellEnd"/>
      <w:r w:rsidR="0050614F">
        <w:rPr>
          <w:rFonts w:ascii="Times New Roman" w:hAnsi="Times New Roman" w:cs="Times New Roman"/>
          <w:color w:val="0000FF" w:themeColor="hyperlink"/>
          <w:sz w:val="30"/>
          <w:szCs w:val="30"/>
          <w:u w:val="single"/>
          <w:lang w:val="en-US"/>
        </w:rPr>
        <w:fldChar w:fldCharType="end"/>
      </w:r>
      <w:r w:rsidRPr="00090B37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</w:p>
    <w:p w:rsidR="00090B37" w:rsidRDefault="00090B37" w:rsidP="00090B37">
      <w:pPr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АСАБЛІВАСЦІ ПРАВЯДЗЕННЯ КОНКУРСУ</w:t>
      </w:r>
    </w:p>
    <w:p w:rsidR="0008539C" w:rsidRPr="00090B37" w:rsidRDefault="0008539C" w:rsidP="000853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Конкурс праводзіцца ў двух намінацыя</w:t>
      </w:r>
      <w:r w:rsidR="00C75A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х: “Музей” і “Музейная комната”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 два туры.</w:t>
      </w:r>
    </w:p>
    <w:p w:rsidR="00090B37" w:rsidRPr="00090B37" w:rsidRDefault="00090B37" w:rsidP="00090B37">
      <w:pPr>
        <w:suppressAutoHyphens/>
        <w:spacing w:after="0" w:line="100" w:lineRule="atLeast"/>
        <w:ind w:right="-1" w:firstLine="709"/>
        <w:contextualSpacing/>
        <w:jc w:val="both"/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t>У першым туры н</w:t>
      </w:r>
      <w:r w:rsidRPr="00090B37"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t>а конкурс прадстаўляецца прэзентацыя агляднай экскурсіі юным экскурсаводам па музею</w:t>
      </w:r>
      <w:r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t>, музейнай комнаце ўстановы адукацыі</w:t>
      </w: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адпаведна профілю (да 7-мі хвілін).</w:t>
      </w:r>
    </w:p>
    <w:p w:rsidR="00090B37" w:rsidRDefault="00090B37" w:rsidP="00090B3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t>Юныя экскурсаводы ў форме рэкламы знаёмяць з музеем, музейнай комнатай установы адукацыі, з іх адметнасцямі і ўнікальнасцю. Колькасць аб’ектаў падчас правядзення экскурсіі не абмяжоўваецца. Пры правядзенні экскурсіі могуць выкарыстоўвацца розныя мастацкія сродкі эмацыйнага ўздзеяння (касцюмы, музычнае суправаджэнне і інш.).</w:t>
      </w:r>
    </w:p>
    <w:p w:rsidR="00427E4B" w:rsidRDefault="00427E4B" w:rsidP="00427E4B">
      <w:pPr>
        <w:pStyle w:val="a5"/>
        <w:ind w:left="0" w:right="-1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другім туры ўдзельнікі конкурсу прадстаўляюць імправізаваную экскурсію ”Гісторыя аднаго экспаната“ (да 5-ці хвілін). За пэўны час удзельнікі конкурсу распрацоўваюць экскурсію на аснове аднаго ”экспаната“. ”Экспанат“ будзе выбраны членамі журы з пераліку прадстаўленных удзельнікамі конкурсу музейных прадметаў. Спіс               10-ці музейных прадметаў прадстаўляецца папярэдне з указаннем назвы прадмета і яго фотавыявы ў розных ракурсах (не менш 3-х).</w:t>
      </w:r>
    </w:p>
    <w:p w:rsidR="0008539C" w:rsidRDefault="0008539C" w:rsidP="00090B37">
      <w:pPr>
        <w:spacing w:after="0" w:line="100" w:lineRule="atLeast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90B37" w:rsidRPr="00090B37" w:rsidRDefault="00090B37" w:rsidP="00090B37">
      <w:pPr>
        <w:spacing w:after="0" w:line="100" w:lineRule="atLeast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крытэрыі ацэнкі экскурсійнага прадстаўлення:</w:t>
      </w:r>
    </w:p>
    <w:p w:rsidR="00090B37" w:rsidRPr="00090B37" w:rsidRDefault="00090B37" w:rsidP="00090B37">
      <w:pPr>
        <w:numPr>
          <w:ilvl w:val="0"/>
          <w:numId w:val="1"/>
        </w:num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t>адпаведнасць агляднай (ці тэматычнай) экскурсіі;</w:t>
      </w:r>
    </w:p>
    <w:p w:rsidR="00090B37" w:rsidRPr="00090B37" w:rsidRDefault="00090B37" w:rsidP="00090B37">
      <w:pPr>
        <w:numPr>
          <w:ilvl w:val="0"/>
          <w:numId w:val="1"/>
        </w:num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t>змястоўнасць, інфарматыўнасць;</w:t>
      </w:r>
    </w:p>
    <w:p w:rsidR="00090B37" w:rsidRPr="00090B37" w:rsidRDefault="00090B37" w:rsidP="00090B37">
      <w:pPr>
        <w:numPr>
          <w:ilvl w:val="0"/>
          <w:numId w:val="1"/>
        </w:num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t xml:space="preserve">лагічнасць пераходаў для аб’яднання матэрыялу экскурсіі ў адзінае цэлае; </w:t>
      </w:r>
    </w:p>
    <w:p w:rsidR="00090B37" w:rsidRPr="00090B37" w:rsidRDefault="00090B37" w:rsidP="00090B37">
      <w:pPr>
        <w:numPr>
          <w:ilvl w:val="0"/>
          <w:numId w:val="1"/>
        </w:num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t xml:space="preserve">прыцягненне ўвагі да музея, наяўнасць у экскурсіі элементаў рэкламы; </w:t>
      </w:r>
    </w:p>
    <w:p w:rsidR="00090B37" w:rsidRPr="00090B37" w:rsidRDefault="00090B37" w:rsidP="00090B37">
      <w:pPr>
        <w:numPr>
          <w:ilvl w:val="0"/>
          <w:numId w:val="1"/>
        </w:num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t>спалучэнне паказа і расказа;</w:t>
      </w:r>
    </w:p>
    <w:p w:rsidR="00090B37" w:rsidRPr="00090B37" w:rsidRDefault="00090B37" w:rsidP="00090B37">
      <w:pPr>
        <w:numPr>
          <w:ilvl w:val="0"/>
          <w:numId w:val="1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t>культура мовы;</w:t>
      </w:r>
    </w:p>
    <w:p w:rsidR="00090B37" w:rsidRPr="00090B37" w:rsidRDefault="00090B37" w:rsidP="00090B37">
      <w:pPr>
        <w:numPr>
          <w:ilvl w:val="0"/>
          <w:numId w:val="1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t xml:space="preserve">займальнасць, крэатыўнасць, артыстызм; </w:t>
      </w:r>
    </w:p>
    <w:p w:rsidR="00090B37" w:rsidRPr="00090B37" w:rsidRDefault="00090B37" w:rsidP="00090B37">
      <w:pPr>
        <w:numPr>
          <w:ilvl w:val="0"/>
          <w:numId w:val="1"/>
        </w:numPr>
        <w:spacing w:after="0" w:line="100" w:lineRule="atLeast"/>
        <w:ind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прытрымліванне хранаметражу.</w:t>
      </w:r>
    </w:p>
    <w:p w:rsidR="00427E4B" w:rsidRPr="00090B37" w:rsidRDefault="00427E4B" w:rsidP="00090B37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8539C" w:rsidRDefault="0008539C" w:rsidP="00090B37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8539C" w:rsidRDefault="0008539C" w:rsidP="00090B37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90B37" w:rsidRPr="00090B37" w:rsidRDefault="00090B37" w:rsidP="00090B37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ПАДВЯДЗЕННЕ ВЫНІКАЎ КОНКУРСУ</w:t>
      </w:r>
    </w:p>
    <w:p w:rsidR="00AD79B9" w:rsidRDefault="00090B37" w:rsidP="0009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90B37">
        <w:rPr>
          <w:rFonts w:ascii="Times New Roman" w:hAnsi="Times New Roman" w:cs="Times New Roman"/>
          <w:sz w:val="30"/>
          <w:szCs w:val="30"/>
          <w:lang w:val="be-BY"/>
        </w:rPr>
        <w:t xml:space="preserve">Пераможцы і прызёры </w:t>
      </w: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раённага этапу рэспубліканскага конкурсу юных экскурсаводаў музеяў устаноў адукацыі </w:t>
      </w:r>
      <w:r w:rsidRPr="00090B37">
        <w:rPr>
          <w:rFonts w:ascii="Times New Roman" w:hAnsi="Times New Roman" w:cs="Times New Roman"/>
          <w:sz w:val="30"/>
          <w:szCs w:val="30"/>
          <w:lang w:val="be-BY"/>
        </w:rPr>
        <w:t>будуць узнагароджаны</w:t>
      </w:r>
      <w:r w:rsidR="00AD79B9">
        <w:rPr>
          <w:rFonts w:ascii="Times New Roman" w:hAnsi="Times New Roman" w:cs="Times New Roman"/>
          <w:sz w:val="30"/>
          <w:szCs w:val="30"/>
          <w:lang w:val="be-BY"/>
        </w:rPr>
        <w:t xml:space="preserve"> ў кожнай намінацыі</w:t>
      </w:r>
      <w:r w:rsidRPr="00090B37">
        <w:rPr>
          <w:rFonts w:ascii="Times New Roman" w:hAnsi="Times New Roman" w:cs="Times New Roman"/>
          <w:sz w:val="30"/>
          <w:szCs w:val="30"/>
          <w:lang w:val="be-BY"/>
        </w:rPr>
        <w:t xml:space="preserve"> дыпломамі </w:t>
      </w:r>
      <w:r w:rsidRPr="00090B3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090B3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090B37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090B3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090B37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090B37">
        <w:rPr>
          <w:rFonts w:ascii="Times New Roman" w:hAnsi="Times New Roman" w:cs="Times New Roman"/>
          <w:sz w:val="30"/>
          <w:szCs w:val="30"/>
          <w:lang w:val="be-BY"/>
        </w:rPr>
        <w:t xml:space="preserve"> ступені аддзела па адукацыі Докшыцкага райвыканкама. </w:t>
      </w:r>
    </w:p>
    <w:p w:rsidR="00090B37" w:rsidRPr="00090B37" w:rsidRDefault="00677C9F" w:rsidP="0009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Пераможцы </w:t>
      </w:r>
      <w:r w:rsidR="00090B37" w:rsidRPr="00090B37">
        <w:rPr>
          <w:rFonts w:ascii="Times New Roman" w:hAnsi="Times New Roman" w:cs="Times New Roman"/>
          <w:sz w:val="30"/>
          <w:szCs w:val="30"/>
          <w:lang w:val="be-BY"/>
        </w:rPr>
        <w:t>буду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ць накіраваныя на абласны этап </w:t>
      </w:r>
      <w:r w:rsidR="00783DC8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090B37" w:rsidRPr="00090B37">
        <w:rPr>
          <w:rFonts w:ascii="Times New Roman" w:hAnsi="Times New Roman" w:cs="Times New Roman"/>
          <w:sz w:val="30"/>
          <w:szCs w:val="30"/>
          <w:lang w:val="be-BY"/>
        </w:rPr>
        <w:t>абарона</w:t>
      </w:r>
      <w:r w:rsidR="00783DC8">
        <w:rPr>
          <w:rFonts w:ascii="Times New Roman" w:hAnsi="Times New Roman" w:cs="Times New Roman"/>
          <w:sz w:val="30"/>
          <w:szCs w:val="30"/>
          <w:lang w:val="be-BY"/>
        </w:rPr>
        <w:t xml:space="preserve"> таксама</w:t>
      </w:r>
      <w:r w:rsidR="00090B37" w:rsidRPr="00090B37">
        <w:rPr>
          <w:rFonts w:ascii="Times New Roman" w:hAnsi="Times New Roman" w:cs="Times New Roman"/>
          <w:sz w:val="30"/>
          <w:szCs w:val="30"/>
          <w:lang w:val="be-BY"/>
        </w:rPr>
        <w:t xml:space="preserve"> будзе праходзіць у вочным фармаце</w:t>
      </w:r>
      <w:r w:rsidR="00783DC8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090B37" w:rsidRPr="00090B3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090B37" w:rsidRPr="00090B37" w:rsidRDefault="00090B37" w:rsidP="00090B3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090B37" w:rsidRPr="00090B37" w:rsidRDefault="00090B37" w:rsidP="00090B3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90B37">
        <w:rPr>
          <w:rFonts w:ascii="Times New Roman" w:hAnsi="Times New Roman" w:cs="Times New Roman"/>
          <w:sz w:val="30"/>
          <w:szCs w:val="30"/>
          <w:lang w:val="be-BY"/>
        </w:rPr>
        <w:lastRenderedPageBreak/>
        <w:t>ФІНАНСАВАННЕ</w:t>
      </w:r>
    </w:p>
    <w:p w:rsidR="00090B37" w:rsidRPr="00090B37" w:rsidRDefault="00090B37" w:rsidP="0009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90B37">
        <w:rPr>
          <w:rFonts w:ascii="Times New Roman" w:hAnsi="Times New Roman" w:cs="Times New Roman"/>
          <w:sz w:val="30"/>
          <w:szCs w:val="30"/>
          <w:lang w:val="be-BY"/>
        </w:rPr>
        <w:t>Набыццё дыпломаў пераможцам і прызёрам раённага этапу рэспубліканскага конкурсу</w:t>
      </w:r>
      <w:r w:rsidRPr="00090B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юных экскурсаводаў музеяў устаноў адукацыі</w:t>
      </w:r>
      <w:r w:rsidR="00783DC8">
        <w:rPr>
          <w:rFonts w:ascii="Times New Roman" w:hAnsi="Times New Roman" w:cs="Times New Roman"/>
          <w:sz w:val="30"/>
          <w:szCs w:val="30"/>
          <w:lang w:val="be-BY"/>
        </w:rPr>
        <w:t xml:space="preserve"> (6 </w:t>
      </w:r>
      <w:r w:rsidRPr="00090B37">
        <w:rPr>
          <w:rFonts w:ascii="Times New Roman" w:hAnsi="Times New Roman" w:cs="Times New Roman"/>
          <w:sz w:val="30"/>
          <w:szCs w:val="30"/>
          <w:lang w:val="be-BY"/>
        </w:rPr>
        <w:t>шт</w:t>
      </w:r>
      <w:r w:rsidR="00783DC8">
        <w:rPr>
          <w:rFonts w:ascii="Times New Roman" w:hAnsi="Times New Roman" w:cs="Times New Roman"/>
          <w:sz w:val="30"/>
          <w:szCs w:val="30"/>
          <w:lang w:val="be-BY"/>
        </w:rPr>
        <w:t>ук</w:t>
      </w:r>
      <w:r w:rsidRPr="00090B37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783DC8">
        <w:rPr>
          <w:rFonts w:ascii="Times New Roman" w:hAnsi="Times New Roman" w:cs="Times New Roman"/>
          <w:sz w:val="30"/>
          <w:szCs w:val="30"/>
          <w:lang w:val="be-BY"/>
        </w:rPr>
        <w:t>, а таксама</w:t>
      </w:r>
      <w:r w:rsidRPr="00090B3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83DC8">
        <w:rPr>
          <w:rFonts w:ascii="Times New Roman" w:hAnsi="Times New Roman" w:cs="Times New Roman"/>
          <w:sz w:val="30"/>
          <w:szCs w:val="30"/>
          <w:lang w:val="be-BY"/>
        </w:rPr>
        <w:t xml:space="preserve">арганізацыя падвоза </w:t>
      </w:r>
      <w:r w:rsidRPr="00090B37">
        <w:rPr>
          <w:rFonts w:ascii="Times New Roman" w:hAnsi="Times New Roman" w:cs="Times New Roman"/>
          <w:sz w:val="30"/>
          <w:szCs w:val="30"/>
          <w:lang w:val="be-BY"/>
        </w:rPr>
        <w:t>ажыццяўляецца за кошт сродкаў</w:t>
      </w:r>
      <w:r w:rsidR="008E6671">
        <w:rPr>
          <w:rFonts w:ascii="Times New Roman" w:hAnsi="Times New Roman" w:cs="Times New Roman"/>
          <w:sz w:val="30"/>
          <w:szCs w:val="30"/>
          <w:lang w:val="be-BY"/>
        </w:rPr>
        <w:t xml:space="preserve"> раённага </w:t>
      </w:r>
      <w:r w:rsidRPr="00090B37">
        <w:rPr>
          <w:rFonts w:ascii="Times New Roman" w:hAnsi="Times New Roman" w:cs="Times New Roman"/>
          <w:sz w:val="30"/>
          <w:szCs w:val="30"/>
          <w:lang w:val="be-BY"/>
        </w:rPr>
        <w:t>бюджэту прадугледжаных на правядзенне цэнтралізаваных мерапрыемстваў.</w:t>
      </w:r>
    </w:p>
    <w:p w:rsidR="00090B37" w:rsidRPr="00090B37" w:rsidRDefault="00090B37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90B37" w:rsidRDefault="00090B37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D79B9" w:rsidRDefault="00AD79B9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D79B9" w:rsidRDefault="00AD79B9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D79B9" w:rsidRDefault="00AD79B9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D79B9" w:rsidRDefault="00AD79B9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D79B9" w:rsidRDefault="00AD79B9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D79B9" w:rsidRDefault="00AD79B9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D79B9" w:rsidRDefault="00AD79B9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D79B9" w:rsidRDefault="00AD79B9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D79B9" w:rsidRDefault="00AD79B9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D79B9" w:rsidRDefault="00AD79B9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83DC8" w:rsidRDefault="00783DC8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83DC8" w:rsidRDefault="00783DC8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83DC8" w:rsidRDefault="00783DC8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83DC8" w:rsidRDefault="00783DC8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83DC8" w:rsidRDefault="00783DC8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83DC8" w:rsidRDefault="00783DC8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83DC8" w:rsidRDefault="00783DC8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83DC8" w:rsidRDefault="00783DC8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83DC8" w:rsidRDefault="00783DC8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83DC8" w:rsidRDefault="00783DC8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83DC8" w:rsidRDefault="00783DC8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83DC8" w:rsidRDefault="00783DC8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83DC8" w:rsidRDefault="00783DC8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83DC8" w:rsidRDefault="00783DC8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57B0C" w:rsidRDefault="00057B0C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57B0C" w:rsidRDefault="00057B0C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57B0C" w:rsidRDefault="00057B0C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57B0C" w:rsidRDefault="00057B0C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57B0C" w:rsidRDefault="00057B0C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57B0C" w:rsidRDefault="00057B0C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57B0C" w:rsidRDefault="00057B0C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57B0C" w:rsidRDefault="00057B0C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57B0C" w:rsidRDefault="00057B0C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83DC8" w:rsidRPr="00090B37" w:rsidRDefault="00783DC8" w:rsidP="00090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814DE" w:rsidRDefault="00090B37" w:rsidP="00090B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be-BY"/>
        </w:rPr>
      </w:pPr>
      <w:r w:rsidRPr="00090B37">
        <w:rPr>
          <w:rFonts w:ascii="Times New Roman" w:hAnsi="Times New Roman" w:cs="Times New Roman"/>
          <w:sz w:val="18"/>
          <w:szCs w:val="18"/>
          <w:lang w:val="be-BY"/>
        </w:rPr>
        <w:t>Савулава 59791</w:t>
      </w:r>
      <w:bookmarkStart w:id="0" w:name="_GoBack"/>
      <w:bookmarkEnd w:id="0"/>
    </w:p>
    <w:sectPr w:rsidR="00E814DE" w:rsidSect="00E064A0">
      <w:foot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C5" w:rsidRDefault="001B78C5">
      <w:pPr>
        <w:spacing w:after="0" w:line="240" w:lineRule="auto"/>
      </w:pPr>
      <w:r>
        <w:separator/>
      </w:r>
    </w:p>
  </w:endnote>
  <w:endnote w:type="continuationSeparator" w:id="0">
    <w:p w:rsidR="001B78C5" w:rsidRDefault="001B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63" w:rsidRDefault="00057B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C5" w:rsidRDefault="001B78C5">
      <w:pPr>
        <w:spacing w:after="0" w:line="240" w:lineRule="auto"/>
      </w:pPr>
      <w:r>
        <w:separator/>
      </w:r>
    </w:p>
  </w:footnote>
  <w:footnote w:type="continuationSeparator" w:id="0">
    <w:p w:rsidR="001B78C5" w:rsidRDefault="001B7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6A8"/>
    <w:multiLevelType w:val="multilevel"/>
    <w:tmpl w:val="191C9792"/>
    <w:lvl w:ilvl="0">
      <w:start w:val="2"/>
      <w:numFmt w:val="decimal"/>
      <w:suff w:val="space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2063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95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4015" w:hanging="144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4375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75" w:hanging="2160"/>
      </w:pPr>
      <w:rPr>
        <w:rFonts w:eastAsia="Times New Roman" w:hint="default"/>
        <w:b/>
      </w:rPr>
    </w:lvl>
  </w:abstractNum>
  <w:abstractNum w:abstractNumId="1">
    <w:nsid w:val="231B088C"/>
    <w:multiLevelType w:val="hybridMultilevel"/>
    <w:tmpl w:val="1166DF34"/>
    <w:lvl w:ilvl="0" w:tplc="8294E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D5FB4"/>
    <w:multiLevelType w:val="hybridMultilevel"/>
    <w:tmpl w:val="FD8A3FF6"/>
    <w:lvl w:ilvl="0" w:tplc="49E8B7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D5A5B"/>
    <w:multiLevelType w:val="hybridMultilevel"/>
    <w:tmpl w:val="235257AE"/>
    <w:lvl w:ilvl="0" w:tplc="5B204E5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12"/>
    <w:rsid w:val="00057B0C"/>
    <w:rsid w:val="0008539C"/>
    <w:rsid w:val="00090B37"/>
    <w:rsid w:val="00110B12"/>
    <w:rsid w:val="001B78C5"/>
    <w:rsid w:val="00427E4B"/>
    <w:rsid w:val="0050614F"/>
    <w:rsid w:val="00667858"/>
    <w:rsid w:val="00677C9F"/>
    <w:rsid w:val="006B42BA"/>
    <w:rsid w:val="00783DC8"/>
    <w:rsid w:val="007D5433"/>
    <w:rsid w:val="00844772"/>
    <w:rsid w:val="008E6671"/>
    <w:rsid w:val="00994A38"/>
    <w:rsid w:val="00A53424"/>
    <w:rsid w:val="00AD79B9"/>
    <w:rsid w:val="00C503D0"/>
    <w:rsid w:val="00C75AF0"/>
    <w:rsid w:val="00E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90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90B37"/>
  </w:style>
  <w:style w:type="paragraph" w:styleId="a5">
    <w:name w:val="List Paragraph"/>
    <w:basedOn w:val="a"/>
    <w:uiPriority w:val="34"/>
    <w:qFormat/>
    <w:rsid w:val="00427E4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427E4B"/>
    <w:pPr>
      <w:suppressAutoHyphens/>
      <w:spacing w:after="0" w:line="100" w:lineRule="atLeast"/>
      <w:ind w:left="720" w:firstLine="709"/>
      <w:contextualSpacing/>
    </w:pPr>
    <w:rPr>
      <w:rFonts w:ascii="Calibri" w:eastAsia="Times New Roman" w:hAnsi="Calibri" w:cs="Times New Roman"/>
      <w:kern w:val="2"/>
      <w:lang w:eastAsia="ru-RU"/>
    </w:rPr>
  </w:style>
  <w:style w:type="table" w:styleId="a6">
    <w:name w:val="Table Grid"/>
    <w:basedOn w:val="a1"/>
    <w:uiPriority w:val="59"/>
    <w:rsid w:val="00E8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90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90B37"/>
  </w:style>
  <w:style w:type="paragraph" w:styleId="a5">
    <w:name w:val="List Paragraph"/>
    <w:basedOn w:val="a"/>
    <w:uiPriority w:val="34"/>
    <w:qFormat/>
    <w:rsid w:val="00427E4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427E4B"/>
    <w:pPr>
      <w:suppressAutoHyphens/>
      <w:spacing w:after="0" w:line="100" w:lineRule="atLeast"/>
      <w:ind w:left="720" w:firstLine="709"/>
      <w:contextualSpacing/>
    </w:pPr>
    <w:rPr>
      <w:rFonts w:ascii="Calibri" w:eastAsia="Times New Roman" w:hAnsi="Calibri" w:cs="Times New Roman"/>
      <w:kern w:val="2"/>
      <w:lang w:eastAsia="ru-RU"/>
    </w:rPr>
  </w:style>
  <w:style w:type="table" w:styleId="a6">
    <w:name w:val="Table Grid"/>
    <w:basedOn w:val="a1"/>
    <w:uiPriority w:val="59"/>
    <w:rsid w:val="00E8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8</cp:revision>
  <dcterms:created xsi:type="dcterms:W3CDTF">2024-02-01T14:40:00Z</dcterms:created>
  <dcterms:modified xsi:type="dcterms:W3CDTF">2024-02-09T06:33:00Z</dcterms:modified>
</cp:coreProperties>
</file>